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D2" w:rsidRPr="008230D2" w:rsidRDefault="008230D2" w:rsidP="008230D2">
      <w:pPr>
        <w:spacing w:after="0" w:line="240" w:lineRule="auto"/>
        <w:rPr>
          <w:rFonts w:ascii="Times New Roman" w:eastAsia="Times New Roman" w:hAnsi="Times New Roman" w:cstheme="minorHAnsi"/>
          <w:b/>
          <w:szCs w:val="38"/>
          <w:lang w:val="es-ES"/>
        </w:rPr>
      </w:pPr>
      <w:proofErr w:type="spellStart"/>
      <w:r w:rsidRPr="008230D2">
        <w:rPr>
          <w:rFonts w:ascii="Times New Roman" w:eastAsia="Times New Roman" w:hAnsi="Times New Roman" w:cstheme="minorHAnsi"/>
          <w:b/>
          <w:szCs w:val="38"/>
          <w:lang w:val="es-ES"/>
        </w:rPr>
        <w:t>Name</w:t>
      </w:r>
      <w:proofErr w:type="spellEnd"/>
      <w:r w:rsidRPr="008230D2">
        <w:rPr>
          <w:rFonts w:ascii="Times New Roman" w:eastAsia="Times New Roman" w:hAnsi="Times New Roman" w:cstheme="minorHAnsi"/>
          <w:b/>
          <w:szCs w:val="38"/>
          <w:lang w:val="es-ES"/>
        </w:rPr>
        <w:t>_______________________________________________</w:t>
      </w:r>
      <w:r w:rsidR="003D1877">
        <w:rPr>
          <w:rFonts w:ascii="Times New Roman" w:eastAsia="Times New Roman" w:hAnsi="Times New Roman" w:cstheme="minorHAnsi"/>
          <w:b/>
          <w:szCs w:val="38"/>
          <w:lang w:val="es-ES"/>
        </w:rPr>
        <w:t xml:space="preserve">_____ </w:t>
      </w:r>
      <w:r w:rsidR="003D1877"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 w:rsidR="003D1877"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 w:rsidR="003D1877"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 w:rsidR="003D1877">
        <w:rPr>
          <w:rFonts w:ascii="Times New Roman" w:eastAsia="Times New Roman" w:hAnsi="Times New Roman" w:cstheme="minorHAnsi"/>
          <w:b/>
          <w:szCs w:val="38"/>
          <w:lang w:val="es-ES"/>
        </w:rPr>
        <w:tab/>
        <w:t xml:space="preserve">     Date—____/____/15</w:t>
      </w:r>
    </w:p>
    <w:p w:rsidR="008230D2" w:rsidRDefault="008230D2" w:rsidP="008230D2">
      <w:pPr>
        <w:spacing w:after="0" w:line="240" w:lineRule="auto"/>
        <w:rPr>
          <w:rFonts w:ascii="Times New Roman" w:eastAsia="Times New Roman" w:hAnsi="Times New Roman" w:cstheme="minorHAnsi"/>
          <w:b/>
          <w:szCs w:val="38"/>
          <w:lang w:val="es-ES"/>
        </w:rPr>
      </w:pPr>
      <w:r>
        <w:rPr>
          <w:rFonts w:ascii="Times New Roman" w:eastAsia="Times New Roman" w:hAnsi="Times New Roman" w:cstheme="minorHAnsi"/>
          <w:b/>
          <w:szCs w:val="38"/>
          <w:lang w:val="es-ES"/>
        </w:rPr>
        <w:t>ELA/</w:t>
      </w:r>
      <w:proofErr w:type="spellStart"/>
      <w:r>
        <w:rPr>
          <w:rFonts w:ascii="Times New Roman" w:eastAsia="Times New Roman" w:hAnsi="Times New Roman" w:cstheme="minorHAnsi"/>
          <w:b/>
          <w:szCs w:val="38"/>
          <w:lang w:val="es-ES"/>
        </w:rPr>
        <w:t>Literacy</w:t>
      </w:r>
      <w:proofErr w:type="spellEnd"/>
      <w:r>
        <w:rPr>
          <w:rFonts w:ascii="Times New Roman" w:eastAsia="Times New Roman" w:hAnsi="Times New Roman" w:cstheme="minorHAnsi"/>
          <w:b/>
          <w:szCs w:val="38"/>
          <w:lang w:val="es-ES"/>
        </w:rPr>
        <w:tab/>
        <w:t xml:space="preserve">   </w:t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  <w:t xml:space="preserve">     </w:t>
      </w:r>
      <w:proofErr w:type="spellStart"/>
      <w:r>
        <w:rPr>
          <w:rFonts w:ascii="Times New Roman" w:eastAsia="Times New Roman" w:hAnsi="Times New Roman" w:cstheme="minorHAnsi"/>
          <w:b/>
          <w:szCs w:val="38"/>
          <w:lang w:val="es-ES"/>
        </w:rPr>
        <w:t>Class</w:t>
      </w:r>
      <w:proofErr w:type="spellEnd"/>
      <w:r>
        <w:rPr>
          <w:rFonts w:ascii="Times New Roman" w:eastAsia="Times New Roman" w:hAnsi="Times New Roman" w:cstheme="minorHAnsi"/>
          <w:b/>
          <w:szCs w:val="38"/>
          <w:lang w:val="es-ES"/>
        </w:rPr>
        <w:t>—Amarillo    Naranja    Azul    Verde</w:t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</w:p>
    <w:p w:rsidR="00D60BFF" w:rsidRPr="008230D2" w:rsidRDefault="00D60BFF">
      <w:pPr>
        <w:rPr>
          <w:rFonts w:ascii="Times New Roman" w:eastAsia="Times New Roman" w:hAnsi="Times New Roman" w:cstheme="minorHAnsi"/>
          <w:b/>
          <w:szCs w:val="38"/>
          <w:lang w:val="es-ES"/>
        </w:rPr>
      </w:pPr>
    </w:p>
    <w:p w:rsidR="00D60BFF" w:rsidRPr="001C0FF3" w:rsidRDefault="001C0FF3" w:rsidP="001C0FF3">
      <w:pPr>
        <w:pStyle w:val="Title"/>
        <w:jc w:val="center"/>
        <w:rPr>
          <w:rFonts w:eastAsia="Times New Roman"/>
          <w:b/>
        </w:rPr>
      </w:pPr>
      <w:r>
        <w:rPr>
          <w:rFonts w:eastAsia="Times New Roman"/>
          <w:b/>
        </w:rPr>
        <w:t>Response to Literature—</w:t>
      </w:r>
      <w:r w:rsidR="00976518">
        <w:rPr>
          <w:rFonts w:eastAsia="Times New Roman"/>
          <w:b/>
        </w:rPr>
        <w:t>Informational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  <w:gridCol w:w="4068"/>
      </w:tblGrid>
      <w:tr w:rsidR="003D1877" w:rsidTr="003D1877">
        <w:tc>
          <w:tcPr>
            <w:tcW w:w="6840" w:type="dxa"/>
          </w:tcPr>
          <w:p w:rsidR="008E4367" w:rsidRDefault="008E4367" w:rsidP="008E436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34"/>
                <w:szCs w:val="34"/>
              </w:rPr>
              <w:t>Carl M. Brashear, 75,</w:t>
            </w:r>
          </w:p>
          <w:p w:rsidR="008E4367" w:rsidRPr="008E4367" w:rsidRDefault="008E4367" w:rsidP="008E436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34"/>
                <w:szCs w:val="34"/>
              </w:rPr>
              <w:t>Diver W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34"/>
                <w:szCs w:val="34"/>
              </w:rPr>
              <w:t>ho Broke a Racial Barrier, Dies</w:t>
            </w:r>
          </w:p>
          <w:p w:rsidR="008E4367" w:rsidRDefault="008E4367" w:rsidP="008E43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43163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6D6D6D"/>
                <w:sz w:val="24"/>
                <w:szCs w:val="24"/>
              </w:rPr>
              <w:t xml:space="preserve">By </w:t>
            </w:r>
            <w:r>
              <w:rPr>
                <w:rFonts w:ascii="TimesNewRomanPSMT" w:hAnsi="TimesNewRomanPSMT" w:cs="TimesNewRomanPSMT"/>
                <w:color w:val="043163"/>
                <w:sz w:val="24"/>
                <w:szCs w:val="24"/>
              </w:rPr>
              <w:t>MARGALIT FOX</w:t>
            </w:r>
          </w:p>
          <w:p w:rsidR="003D1877" w:rsidRPr="008F7E06" w:rsidRDefault="008E4367" w:rsidP="003972D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noProof/>
                <w:sz w:val="24"/>
                <w:szCs w:val="24"/>
              </w:rPr>
              <w:drawing>
                <wp:inline distT="0" distB="0" distL="0" distR="0">
                  <wp:extent cx="2085662" cy="13462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662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3D1877" w:rsidRDefault="003D1877" w:rsidP="003D1877">
            <w:pPr>
              <w:jc w:val="center"/>
            </w:pPr>
            <w:r w:rsidRPr="00080620">
              <w:rPr>
                <w:b/>
                <w:highlight w:val="yellow"/>
              </w:rPr>
              <w:t>Annotation Steps</w:t>
            </w:r>
            <w:r>
              <w:t>:</w:t>
            </w:r>
          </w:p>
          <w:p w:rsidR="003D1877" w:rsidRDefault="003D1877" w:rsidP="003D1877">
            <w:r w:rsidRPr="00080620">
              <w:rPr>
                <w:b/>
                <w:highlight w:val="yellow"/>
              </w:rPr>
              <w:t>Step #1</w:t>
            </w:r>
            <w:r>
              <w:t>—</w:t>
            </w:r>
          </w:p>
          <w:p w:rsidR="003D1877" w:rsidRDefault="003D1877" w:rsidP="003D1877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>
              <w:t xml:space="preserve">Read the </w:t>
            </w:r>
            <w:r w:rsidR="008E4367">
              <w:t>article</w:t>
            </w:r>
            <w:r>
              <w:t xml:space="preserve"> once for comprehension</w:t>
            </w:r>
          </w:p>
          <w:p w:rsidR="003D1877" w:rsidRDefault="003D1877" w:rsidP="003D1877">
            <w:r w:rsidRPr="00080620">
              <w:rPr>
                <w:b/>
                <w:highlight w:val="yellow"/>
              </w:rPr>
              <w:t>Step #2</w:t>
            </w:r>
            <w:r>
              <w:t>—</w:t>
            </w:r>
          </w:p>
          <w:p w:rsidR="003D1877" w:rsidRDefault="003D1877" w:rsidP="003D1877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>
              <w:t xml:space="preserve">Read the response questions. </w:t>
            </w:r>
          </w:p>
          <w:p w:rsidR="003D1877" w:rsidRDefault="003D1877" w:rsidP="003D1877">
            <w:pPr>
              <w:pStyle w:val="ListParagraph"/>
              <w:spacing w:after="200" w:line="276" w:lineRule="auto"/>
            </w:pPr>
            <w:r>
              <w:t>C-U-B the questions</w:t>
            </w:r>
          </w:p>
          <w:p w:rsidR="003D1877" w:rsidRDefault="003D1877" w:rsidP="003D1877">
            <w:r w:rsidRPr="00080620">
              <w:rPr>
                <w:b/>
                <w:highlight w:val="yellow"/>
              </w:rPr>
              <w:t>Step #3</w:t>
            </w:r>
            <w:r>
              <w:t>—</w:t>
            </w:r>
          </w:p>
          <w:p w:rsidR="003D1877" w:rsidRPr="003D1877" w:rsidRDefault="003D1877" w:rsidP="008E4367">
            <w:pPr>
              <w:pStyle w:val="ListParagraph"/>
              <w:numPr>
                <w:ilvl w:val="0"/>
                <w:numId w:val="21"/>
              </w:numPr>
              <w:rPr>
                <w:sz w:val="16"/>
              </w:rPr>
            </w:pPr>
            <w:r>
              <w:t xml:space="preserve">Read the </w:t>
            </w:r>
            <w:r w:rsidR="008E4367">
              <w:t>article</w:t>
            </w:r>
            <w:r>
              <w:t xml:space="preserve"> a second time; annotate for answers to the short response questions</w:t>
            </w:r>
            <w:r w:rsidRPr="003D1877">
              <w:rPr>
                <w:sz w:val="16"/>
              </w:rPr>
              <w:t>)</w:t>
            </w:r>
          </w:p>
        </w:tc>
      </w:tr>
      <w:tr w:rsidR="003D1877" w:rsidTr="003D1877">
        <w:trPr>
          <w:trHeight w:val="4760"/>
        </w:trPr>
        <w:tc>
          <w:tcPr>
            <w:tcW w:w="6840" w:type="dxa"/>
          </w:tcPr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8E4367">
              <w:rPr>
                <w:rFonts w:ascii="Cambria Math" w:hAnsi="Cambria Math"/>
                <w:sz w:val="24"/>
                <w:szCs w:val="24"/>
              </w:rPr>
              <w:t>Carl M. Brashear, a son of Kentucky sharecroppers, who in 1970 became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the United States Navy’s first black master diver, and whose story was told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in the 2000 movie “Men of Honor,” died Tuesday in Portsmouth, Va. He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was 75. The cause was heart and respiratory failure, said his former wife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Junetta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Brashear.</w:t>
            </w: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8E4367">
              <w:rPr>
                <w:rFonts w:ascii="Cambria Math" w:hAnsi="Cambria Math"/>
                <w:sz w:val="24"/>
                <w:szCs w:val="24"/>
              </w:rPr>
              <w:t>Starring Cuba Gooding Jr. as Mr. Brashear, “Men of Honor” told the story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of its hero’s struggle against seemingly insurmountable odds: rural poverty,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a limited education and the racism that pervaded the armed forces from the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late 1940’s, when he enlisted, until long afterward.</w:t>
            </w:r>
          </w:p>
          <w:p w:rsidR="008E4367" w:rsidRP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8E4367" w:rsidRP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8E4367">
              <w:rPr>
                <w:rFonts w:ascii="Cambria Math" w:hAnsi="Cambria Math"/>
                <w:sz w:val="24"/>
                <w:szCs w:val="24"/>
              </w:rPr>
              <w:t>The movie also portrayed Mr. Brashear’s grueling fight to return to diving,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and to attain the coveted position of master diver, after he lost a leg during a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shipboard accident in 1966.</w:t>
            </w: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8E4367" w:rsidRP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8E4367">
              <w:rPr>
                <w:rFonts w:ascii="Cambria Math" w:hAnsi="Cambria Math"/>
                <w:sz w:val="24"/>
                <w:szCs w:val="24"/>
              </w:rPr>
              <w:t>A 31-year Navy veteran, Mr. Brashear retired in 1979 as a master chief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boatswain’s mate, the highest enlisted rank in the Navy. He was also the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first person ever to be returned to full service as a Navy diver after losing a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limb.</w:t>
            </w: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8E4367">
              <w:rPr>
                <w:rFonts w:ascii="Cambria Math" w:hAnsi="Cambria Math"/>
                <w:sz w:val="24"/>
                <w:szCs w:val="24"/>
              </w:rPr>
              <w:t xml:space="preserve">Carl Maxie Brashear (pronounced </w:t>
            </w:r>
            <w:proofErr w:type="spellStart"/>
            <w:r w:rsidRPr="008E4367">
              <w:rPr>
                <w:rFonts w:ascii="Cambria Math" w:hAnsi="Cambria Math"/>
                <w:sz w:val="24"/>
                <w:szCs w:val="24"/>
              </w:rPr>
              <w:t>bruh</w:t>
            </w:r>
            <w:proofErr w:type="spellEnd"/>
            <w:r w:rsidRPr="008E4367">
              <w:rPr>
                <w:rFonts w:ascii="Cambria Math" w:hAnsi="Cambria Math"/>
                <w:sz w:val="24"/>
                <w:szCs w:val="24"/>
              </w:rPr>
              <w:t>-SHEER) was born on Jan. 19, 1931,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 xml:space="preserve">in </w:t>
            </w:r>
            <w:proofErr w:type="spellStart"/>
            <w:r w:rsidRPr="008E4367">
              <w:rPr>
                <w:rFonts w:ascii="Cambria Math" w:hAnsi="Cambria Math"/>
                <w:sz w:val="24"/>
                <w:szCs w:val="24"/>
              </w:rPr>
              <w:t>Tonieville</w:t>
            </w:r>
            <w:proofErr w:type="spellEnd"/>
            <w:r w:rsidRPr="008E4367">
              <w:rPr>
                <w:rFonts w:ascii="Cambria Math" w:hAnsi="Cambria Math"/>
                <w:sz w:val="24"/>
                <w:szCs w:val="24"/>
              </w:rPr>
              <w:t>, Ky., the sixth of eight children. He left school after seventh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grade to help his father work the land, but dreamed of adventure. He did not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want to spend his days behind a plow.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3D187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8E4367">
              <w:rPr>
                <w:rFonts w:ascii="Cambria Math" w:hAnsi="Cambria Math"/>
                <w:sz w:val="24"/>
                <w:szCs w:val="24"/>
              </w:rPr>
              <w:t>At 17, he tried to join the Army in early 1948, but the Army did not want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him. The Navy was more welcoming, so he enlisted in February 1948. (The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entire military was later desegregated in June of that same year.)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:rsidR="008E4367" w:rsidRP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 w:rsidRPr="008E4367">
              <w:rPr>
                <w:rFonts w:ascii="Cambria Math" w:hAnsi="Cambria Math"/>
                <w:sz w:val="24"/>
                <w:szCs w:val="24"/>
              </w:rPr>
              <w:lastRenderedPageBreak/>
              <w:t>Like most black Navy men of the period, Mr. Brashear was placed in the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stewards’ branch, where he prepared meals for white officers in the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officers’ dining hall.</w:t>
            </w: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8E4367" w:rsidRP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8E4367">
              <w:rPr>
                <w:rFonts w:ascii="Cambria Math" w:hAnsi="Cambria Math"/>
                <w:sz w:val="24"/>
                <w:szCs w:val="24"/>
              </w:rPr>
              <w:t>In 1950, Mr. Brashear was assigned to the aircraft carrier Palau. One day he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watched, fascinated and inspired, as a diver slipped into the ocean to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recover an airplane that had rolled overboard. Here was the adventure he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had sought for so long.</w:t>
            </w: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8E4367" w:rsidRP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8E4367">
              <w:rPr>
                <w:rFonts w:ascii="Cambria Math" w:hAnsi="Cambria Math"/>
                <w:sz w:val="24"/>
                <w:szCs w:val="24"/>
              </w:rPr>
              <w:t>He wrote to the Navy diving school, asking for admittance. He wrote again.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And again. Curiously, as Mr. Brashear later recounted, his letters kept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getting lost. He wrote more than 100 times before being admitted in 1954.</w:t>
            </w: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8E4367">
              <w:rPr>
                <w:rFonts w:ascii="Cambria Math" w:hAnsi="Cambria Math"/>
                <w:sz w:val="24"/>
                <w:szCs w:val="24"/>
              </w:rPr>
              <w:t>Few of Mr. Brashear’s classmates were pleased to see him. He sometimes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found threatening notes with racial epithets on his bunk.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8E4367" w:rsidRP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8E4367">
              <w:rPr>
                <w:rFonts w:ascii="Cambria Math" w:hAnsi="Cambria Math"/>
                <w:sz w:val="24"/>
                <w:szCs w:val="24"/>
              </w:rPr>
              <w:t>He graduated in 1955 and spent the next several years as a Navy salvage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diver. But he longed to be a first-class diver, carrying out missions deep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undersea. In 1960, after earning his high school equivalency diploma, he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entered the Navy’s deep-sea diving school.</w:t>
            </w: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8E4367" w:rsidRP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8E4367">
              <w:rPr>
                <w:rFonts w:ascii="Cambria Math" w:hAnsi="Cambria Math"/>
                <w:sz w:val="24"/>
                <w:szCs w:val="24"/>
              </w:rPr>
              <w:t>Mr. Brashear failed the course, unable to pass its rigorous science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component, which included physics, medicine and mathematics. For the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next three years, he studied every moment he was not on duty, and in 1963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was readmitted. He graduated in 1964 as a first-class diver, third in his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class of 17.</w:t>
            </w: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8E4367" w:rsidRP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8E4367">
              <w:rPr>
                <w:rFonts w:ascii="Cambria Math" w:hAnsi="Cambria Math"/>
                <w:sz w:val="24"/>
                <w:szCs w:val="24"/>
              </w:rPr>
              <w:t>In 1966, Mr. Brashear was aboard the Navy salvage ship Hoist off the coast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of Spain, helping to recover a hydrogen bomb that had plunged into the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Mediterranean after the plane carrying it crashed. As he supervised from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the ship, a line broke, sending a heavy steel pipe hurtling toward the men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on deck.</w:t>
            </w: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8E4367">
              <w:rPr>
                <w:rFonts w:ascii="Cambria Math" w:hAnsi="Cambria Math"/>
                <w:sz w:val="24"/>
                <w:szCs w:val="24"/>
              </w:rPr>
              <w:t>Mr. Brashear pushed his men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out of the way, but could not avoid the pipe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himself. It crushed his left leg. He lost so much blood that he was initially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pronounced dead by the Spanish hospital to which he was evacuated.</w:t>
            </w:r>
          </w:p>
          <w:p w:rsidR="008E4367" w:rsidRP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8E4367">
              <w:rPr>
                <w:rFonts w:ascii="Cambria Math" w:hAnsi="Cambria Math"/>
                <w:sz w:val="24"/>
                <w:szCs w:val="24"/>
              </w:rPr>
              <w:t xml:space="preserve">After being transferred to Portsmouth Naval Hospital in Virginia, </w:t>
            </w:r>
            <w:proofErr w:type="spellStart"/>
            <w:r w:rsidRPr="008E4367">
              <w:rPr>
                <w:rFonts w:ascii="Cambria Math" w:hAnsi="Cambria Math"/>
                <w:sz w:val="24"/>
                <w:szCs w:val="24"/>
              </w:rPr>
              <w:t>Mr.Brashear</w:t>
            </w:r>
            <w:proofErr w:type="spellEnd"/>
            <w:r w:rsidRPr="008E4367">
              <w:rPr>
                <w:rFonts w:ascii="Cambria Math" w:hAnsi="Cambria Math"/>
                <w:sz w:val="24"/>
                <w:szCs w:val="24"/>
              </w:rPr>
              <w:t xml:space="preserve"> was told that his leg could be repaired enough to allow him to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walk with a brace and cane. The process would take several years.</w:t>
            </w: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8E4367" w:rsidRP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8E4367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“Go ahead and amputate,” he told the doctors. “I can’t be tied up that long.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I’ve got to go back to diving.”</w:t>
            </w: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8E4367" w:rsidRP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8E4367">
              <w:rPr>
                <w:rFonts w:ascii="Cambria Math" w:hAnsi="Cambria Math"/>
                <w:sz w:val="24"/>
                <w:szCs w:val="24"/>
              </w:rPr>
              <w:t>He was fitted with a prosthetic leg, and the Navy sent him his discharge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 xml:space="preserve">papers. He did not sign. Instead, he quietly signed </w:t>
            </w:r>
            <w:r w:rsidRPr="008E4367">
              <w:rPr>
                <w:rFonts w:ascii="Cambria Math" w:hAnsi="Cambria Math"/>
                <w:sz w:val="24"/>
                <w:szCs w:val="24"/>
              </w:rPr>
              <w:lastRenderedPageBreak/>
              <w:t>his own orders for a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transfer back to diving school. He dived with his new leg, had pictures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taken and showed them to Navy officials. They did not believe such a feat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was possible.</w:t>
            </w: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8E4367">
              <w:rPr>
                <w:rFonts w:ascii="Cambria Math" w:hAnsi="Cambria Math"/>
                <w:sz w:val="24"/>
                <w:szCs w:val="24"/>
              </w:rPr>
              <w:t>The Navy finally agreed to put Mr. Brashear through a series of tests,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including climbing ladders with barbells strapped to his back to simulate a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diver’s staggering load. For the final test, in a scene dramatically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reproduced in the film, Mr. Brashear was required to walk 12 steps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unaided, wearing nearly 300 pounds of equipment. He took the steps, and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was returned to active duty as a diver.</w:t>
            </w:r>
          </w:p>
          <w:p w:rsidR="008E4367" w:rsidRP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8E4367" w:rsidRP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8E4367">
              <w:rPr>
                <w:rFonts w:ascii="Cambria Math" w:hAnsi="Cambria Math"/>
                <w:sz w:val="24"/>
                <w:szCs w:val="24"/>
              </w:rPr>
              <w:t>In 1970, after more grueling tests, Mr. Brashear became a master diver, the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highest position a Navy diver can attain.</w:t>
            </w: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8E4367">
              <w:rPr>
                <w:rFonts w:ascii="Cambria Math" w:hAnsi="Cambria Math"/>
                <w:sz w:val="24"/>
                <w:szCs w:val="24"/>
              </w:rPr>
              <w:t>Despite a lifetime of hard-won achievement, Mr. Brashear spoke about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“Men of Honor” with humility and awe.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:rsidR="008E4367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8E4367" w:rsidRPr="002A0E5E" w:rsidRDefault="008E4367" w:rsidP="008E436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 w:rsidRPr="008E4367">
              <w:rPr>
                <w:rFonts w:ascii="Cambria Math" w:hAnsi="Cambria Math"/>
                <w:sz w:val="24"/>
                <w:szCs w:val="24"/>
              </w:rPr>
              <w:t>“Not in my wildest dreams did I think this would happen,” he said in an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interview with CNN in 2001. “Even after I lost my leg I was just doing my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4367">
              <w:rPr>
                <w:rFonts w:ascii="Cambria Math" w:hAnsi="Cambria Math"/>
                <w:sz w:val="24"/>
                <w:szCs w:val="24"/>
              </w:rPr>
              <w:t>job.”</w:t>
            </w:r>
          </w:p>
        </w:tc>
        <w:tc>
          <w:tcPr>
            <w:tcW w:w="4068" w:type="dxa"/>
            <w:tcBorders>
              <w:right w:val="nil"/>
            </w:tcBorders>
          </w:tcPr>
          <w:p w:rsidR="003D1877" w:rsidRDefault="003D1877" w:rsidP="003972D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D1877" w:rsidRDefault="003D1877" w:rsidP="003972D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D1877" w:rsidRPr="0053299D" w:rsidRDefault="003D1877" w:rsidP="003972D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D1877" w:rsidRDefault="003D1877" w:rsidP="003972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D1877" w:rsidRDefault="003D1877" w:rsidP="003972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D1877" w:rsidRDefault="003D1877" w:rsidP="003972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C0FF3" w:rsidRDefault="001C0FF3" w:rsidP="001C0FF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D1877" w:rsidRDefault="003D187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1C0FF3" w:rsidRPr="001C0FF3" w:rsidRDefault="001C0FF3" w:rsidP="001C0FF3">
      <w:pPr>
        <w:spacing w:after="0"/>
        <w:rPr>
          <w:rFonts w:asciiTheme="majorHAnsi" w:hAnsiTheme="majorHAnsi"/>
          <w:sz w:val="28"/>
          <w:szCs w:val="28"/>
        </w:rPr>
      </w:pPr>
      <w:r w:rsidRPr="003741B5">
        <w:rPr>
          <w:rFonts w:asciiTheme="majorHAnsi" w:hAnsiTheme="majorHAnsi"/>
          <w:b/>
          <w:sz w:val="28"/>
          <w:szCs w:val="28"/>
        </w:rPr>
        <w:lastRenderedPageBreak/>
        <w:t>Short Answer Responses—</w:t>
      </w:r>
      <w:r w:rsidRPr="001C0FF3">
        <w:rPr>
          <w:rFonts w:asciiTheme="majorHAnsi" w:hAnsiTheme="majorHAnsi"/>
          <w:sz w:val="28"/>
          <w:szCs w:val="28"/>
        </w:rPr>
        <w:t>Use textual evidence to answer each question</w:t>
      </w:r>
    </w:p>
    <w:p w:rsidR="001C0FF3" w:rsidRDefault="001C0FF3" w:rsidP="001C0FF3">
      <w:pPr>
        <w:spacing w:after="0"/>
        <w:rPr>
          <w:rFonts w:asciiTheme="majorHAnsi" w:hAnsiTheme="majorHAnsi"/>
          <w:sz w:val="24"/>
          <w:szCs w:val="24"/>
        </w:rPr>
      </w:pPr>
    </w:p>
    <w:p w:rsidR="00976518" w:rsidRPr="00976518" w:rsidRDefault="00976518" w:rsidP="00976518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76518">
        <w:rPr>
          <w:rFonts w:asciiTheme="majorHAnsi" w:hAnsiTheme="majorHAnsi"/>
          <w:sz w:val="24"/>
          <w:szCs w:val="24"/>
        </w:rPr>
        <w:t xml:space="preserve">What is a central idea of the passage? </w:t>
      </w:r>
      <w:r w:rsidRPr="00976518">
        <w:rPr>
          <w:rFonts w:asciiTheme="majorHAnsi" w:hAnsiTheme="majorHAnsi"/>
          <w:b/>
          <w:sz w:val="24"/>
          <w:szCs w:val="24"/>
        </w:rPr>
        <w:t>Be sure to use evidence from the text to support your</w:t>
      </w:r>
    </w:p>
    <w:p w:rsidR="00976518" w:rsidRPr="00976518" w:rsidRDefault="00976518" w:rsidP="00976518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gramStart"/>
      <w:r w:rsidRPr="00976518">
        <w:rPr>
          <w:rFonts w:asciiTheme="majorHAnsi" w:hAnsiTheme="majorHAnsi"/>
          <w:b/>
          <w:sz w:val="24"/>
          <w:szCs w:val="24"/>
        </w:rPr>
        <w:t>answer</w:t>
      </w:r>
      <w:proofErr w:type="gramEnd"/>
      <w:r w:rsidRPr="00976518">
        <w:rPr>
          <w:rFonts w:asciiTheme="majorHAnsi" w:hAnsiTheme="majorHAnsi"/>
          <w:b/>
          <w:sz w:val="24"/>
          <w:szCs w:val="24"/>
        </w:rPr>
        <w:t>.</w:t>
      </w:r>
    </w:p>
    <w:p w:rsidR="001C0FF3" w:rsidRPr="00976518" w:rsidRDefault="001C0FF3" w:rsidP="00976518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976518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FF3" w:rsidRPr="00601210" w:rsidRDefault="001C0FF3" w:rsidP="001C0FF3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NewRomanPS" w:hAnsi="TimesNewRomanPS" w:cs="TimesNewRomanPS"/>
          <w:color w:val="000000"/>
          <w:szCs w:val="24"/>
        </w:rPr>
      </w:pPr>
    </w:p>
    <w:p w:rsidR="00976518" w:rsidRPr="00976518" w:rsidRDefault="00976518" w:rsidP="00976518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76518">
        <w:rPr>
          <w:rFonts w:asciiTheme="majorHAnsi" w:hAnsiTheme="majorHAnsi"/>
          <w:sz w:val="24"/>
          <w:szCs w:val="24"/>
        </w:rPr>
        <w:t xml:space="preserve">According to the passage, what was the author’s view of Carl Brashear? </w:t>
      </w:r>
      <w:r w:rsidRPr="00976518">
        <w:rPr>
          <w:rFonts w:asciiTheme="majorHAnsi" w:hAnsiTheme="majorHAnsi"/>
          <w:b/>
          <w:sz w:val="24"/>
          <w:szCs w:val="24"/>
        </w:rPr>
        <w:t>Be sure to use evidence</w:t>
      </w:r>
    </w:p>
    <w:p w:rsidR="00976518" w:rsidRPr="00976518" w:rsidRDefault="00976518" w:rsidP="00976518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976518">
        <w:rPr>
          <w:rFonts w:asciiTheme="majorHAnsi" w:hAnsiTheme="majorHAnsi"/>
          <w:b/>
          <w:sz w:val="24"/>
          <w:szCs w:val="24"/>
        </w:rPr>
        <w:t>from</w:t>
      </w:r>
      <w:proofErr w:type="gramEnd"/>
      <w:r w:rsidRPr="00976518">
        <w:rPr>
          <w:rFonts w:asciiTheme="majorHAnsi" w:hAnsiTheme="majorHAnsi"/>
          <w:b/>
          <w:sz w:val="24"/>
          <w:szCs w:val="24"/>
        </w:rPr>
        <w:t xml:space="preserve"> the text to support your answer.</w:t>
      </w:r>
    </w:p>
    <w:p w:rsidR="001C0FF3" w:rsidRDefault="001C0FF3" w:rsidP="00976518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1C0FF3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FF3" w:rsidRPr="00A954DE" w:rsidRDefault="001C0FF3" w:rsidP="001C0FF3">
      <w:pPr>
        <w:spacing w:after="0"/>
        <w:rPr>
          <w:rFonts w:asciiTheme="majorHAnsi" w:hAnsiTheme="majorHAnsi"/>
          <w:sz w:val="24"/>
          <w:szCs w:val="24"/>
        </w:rPr>
      </w:pPr>
    </w:p>
    <w:p w:rsidR="00976518" w:rsidRPr="00976518" w:rsidRDefault="00976518" w:rsidP="00976518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76518">
        <w:rPr>
          <w:rFonts w:asciiTheme="majorHAnsi" w:hAnsiTheme="majorHAnsi"/>
          <w:sz w:val="24"/>
          <w:szCs w:val="24"/>
        </w:rPr>
        <w:t xml:space="preserve">How did the setting affect Carl Brashear’s dreams throughout the article? </w:t>
      </w:r>
      <w:r w:rsidRPr="00976518">
        <w:rPr>
          <w:rFonts w:asciiTheme="majorHAnsi" w:hAnsiTheme="majorHAnsi"/>
          <w:b/>
          <w:sz w:val="24"/>
          <w:szCs w:val="24"/>
        </w:rPr>
        <w:t>Be sure to use evidence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976518">
        <w:rPr>
          <w:rFonts w:asciiTheme="majorHAnsi" w:hAnsiTheme="majorHAnsi"/>
          <w:b/>
          <w:sz w:val="24"/>
          <w:szCs w:val="24"/>
        </w:rPr>
        <w:t>from the text to support your answer.</w:t>
      </w:r>
    </w:p>
    <w:p w:rsidR="001C0FF3" w:rsidRPr="003D1877" w:rsidRDefault="001C0FF3" w:rsidP="003D1877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1C0FF3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0FF3" w:rsidRPr="003D1877" w:rsidSect="00BE7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0F" w:rsidRDefault="00A6120F" w:rsidP="00BE7A97">
      <w:pPr>
        <w:spacing w:after="0" w:line="240" w:lineRule="auto"/>
      </w:pPr>
      <w:r>
        <w:separator/>
      </w:r>
    </w:p>
  </w:endnote>
  <w:endnote w:type="continuationSeparator" w:id="0">
    <w:p w:rsidR="00A6120F" w:rsidRDefault="00A6120F" w:rsidP="00BE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0F" w:rsidRDefault="00A6120F" w:rsidP="00BE7A97">
      <w:pPr>
        <w:spacing w:after="0" w:line="240" w:lineRule="auto"/>
      </w:pPr>
      <w:r>
        <w:separator/>
      </w:r>
    </w:p>
  </w:footnote>
  <w:footnote w:type="continuationSeparator" w:id="0">
    <w:p w:rsidR="00A6120F" w:rsidRDefault="00A6120F" w:rsidP="00BE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265"/>
    <w:multiLevelType w:val="hybridMultilevel"/>
    <w:tmpl w:val="800E0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F91"/>
    <w:multiLevelType w:val="hybridMultilevel"/>
    <w:tmpl w:val="AC6C2048"/>
    <w:lvl w:ilvl="0" w:tplc="39527A46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3219F"/>
    <w:multiLevelType w:val="hybridMultilevel"/>
    <w:tmpl w:val="F302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B063F"/>
    <w:multiLevelType w:val="hybridMultilevel"/>
    <w:tmpl w:val="BAF0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22C22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602B9"/>
    <w:multiLevelType w:val="hybridMultilevel"/>
    <w:tmpl w:val="6770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11676"/>
    <w:multiLevelType w:val="hybridMultilevel"/>
    <w:tmpl w:val="C69498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906F8E"/>
    <w:multiLevelType w:val="hybridMultilevel"/>
    <w:tmpl w:val="E13C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B258B"/>
    <w:multiLevelType w:val="hybridMultilevel"/>
    <w:tmpl w:val="CE4E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D7B94"/>
    <w:multiLevelType w:val="hybridMultilevel"/>
    <w:tmpl w:val="795E9D98"/>
    <w:lvl w:ilvl="0" w:tplc="39527A46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BC5C26"/>
    <w:multiLevelType w:val="hybridMultilevel"/>
    <w:tmpl w:val="BDB4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9084D"/>
    <w:multiLevelType w:val="hybridMultilevel"/>
    <w:tmpl w:val="8A44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23461"/>
    <w:multiLevelType w:val="hybridMultilevel"/>
    <w:tmpl w:val="4A782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313AA2"/>
    <w:multiLevelType w:val="hybridMultilevel"/>
    <w:tmpl w:val="1FB81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A35D4E"/>
    <w:multiLevelType w:val="hybridMultilevel"/>
    <w:tmpl w:val="9D0C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E3E77"/>
    <w:multiLevelType w:val="hybridMultilevel"/>
    <w:tmpl w:val="17BC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84A68"/>
    <w:multiLevelType w:val="hybridMultilevel"/>
    <w:tmpl w:val="9696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37C97"/>
    <w:multiLevelType w:val="hybridMultilevel"/>
    <w:tmpl w:val="271E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62F6E"/>
    <w:multiLevelType w:val="hybridMultilevel"/>
    <w:tmpl w:val="8D66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35627"/>
    <w:multiLevelType w:val="hybridMultilevel"/>
    <w:tmpl w:val="306A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6719F"/>
    <w:multiLevelType w:val="hybridMultilevel"/>
    <w:tmpl w:val="6358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F4F89"/>
    <w:multiLevelType w:val="hybridMultilevel"/>
    <w:tmpl w:val="8800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D3923"/>
    <w:multiLevelType w:val="hybridMultilevel"/>
    <w:tmpl w:val="698E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F7A33"/>
    <w:multiLevelType w:val="hybridMultilevel"/>
    <w:tmpl w:val="8138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B5CC1"/>
    <w:multiLevelType w:val="hybridMultilevel"/>
    <w:tmpl w:val="2AB6F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141FAA"/>
    <w:multiLevelType w:val="hybridMultilevel"/>
    <w:tmpl w:val="E4B0F642"/>
    <w:lvl w:ilvl="0" w:tplc="DDA22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30191"/>
    <w:multiLevelType w:val="hybridMultilevel"/>
    <w:tmpl w:val="7968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19"/>
  </w:num>
  <w:num w:numId="5">
    <w:abstractNumId w:val="25"/>
  </w:num>
  <w:num w:numId="6">
    <w:abstractNumId w:val="9"/>
  </w:num>
  <w:num w:numId="7">
    <w:abstractNumId w:val="4"/>
  </w:num>
  <w:num w:numId="8">
    <w:abstractNumId w:val="15"/>
  </w:num>
  <w:num w:numId="9">
    <w:abstractNumId w:val="16"/>
  </w:num>
  <w:num w:numId="10">
    <w:abstractNumId w:val="21"/>
  </w:num>
  <w:num w:numId="11">
    <w:abstractNumId w:val="2"/>
  </w:num>
  <w:num w:numId="12">
    <w:abstractNumId w:val="7"/>
  </w:num>
  <w:num w:numId="13">
    <w:abstractNumId w:val="3"/>
  </w:num>
  <w:num w:numId="14">
    <w:abstractNumId w:val="11"/>
  </w:num>
  <w:num w:numId="15">
    <w:abstractNumId w:val="12"/>
  </w:num>
  <w:num w:numId="16">
    <w:abstractNumId w:val="13"/>
  </w:num>
  <w:num w:numId="17">
    <w:abstractNumId w:val="6"/>
  </w:num>
  <w:num w:numId="18">
    <w:abstractNumId w:val="24"/>
  </w:num>
  <w:num w:numId="19">
    <w:abstractNumId w:val="20"/>
  </w:num>
  <w:num w:numId="20">
    <w:abstractNumId w:val="23"/>
  </w:num>
  <w:num w:numId="21">
    <w:abstractNumId w:val="10"/>
  </w:num>
  <w:num w:numId="22">
    <w:abstractNumId w:val="0"/>
  </w:num>
  <w:num w:numId="23">
    <w:abstractNumId w:val="1"/>
  </w:num>
  <w:num w:numId="24">
    <w:abstractNumId w:val="5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7"/>
    <w:rsid w:val="000759C9"/>
    <w:rsid w:val="00076656"/>
    <w:rsid w:val="000B4754"/>
    <w:rsid w:val="000D321D"/>
    <w:rsid w:val="0010041F"/>
    <w:rsid w:val="00152269"/>
    <w:rsid w:val="00183256"/>
    <w:rsid w:val="001A0A36"/>
    <w:rsid w:val="001C0FF3"/>
    <w:rsid w:val="001D03EB"/>
    <w:rsid w:val="001F4FAE"/>
    <w:rsid w:val="0020370D"/>
    <w:rsid w:val="0026001B"/>
    <w:rsid w:val="002B046A"/>
    <w:rsid w:val="002E4050"/>
    <w:rsid w:val="00324EF4"/>
    <w:rsid w:val="003B7A94"/>
    <w:rsid w:val="003D1877"/>
    <w:rsid w:val="004E0D9F"/>
    <w:rsid w:val="005420F7"/>
    <w:rsid w:val="00582F11"/>
    <w:rsid w:val="005B1691"/>
    <w:rsid w:val="00601D28"/>
    <w:rsid w:val="006065F9"/>
    <w:rsid w:val="006C4D5B"/>
    <w:rsid w:val="00793942"/>
    <w:rsid w:val="008072DE"/>
    <w:rsid w:val="008230D2"/>
    <w:rsid w:val="008A7998"/>
    <w:rsid w:val="008E4367"/>
    <w:rsid w:val="008E7A84"/>
    <w:rsid w:val="008F3CB0"/>
    <w:rsid w:val="00976518"/>
    <w:rsid w:val="00A6120F"/>
    <w:rsid w:val="00A87346"/>
    <w:rsid w:val="00AA7EB9"/>
    <w:rsid w:val="00AB5899"/>
    <w:rsid w:val="00AC1435"/>
    <w:rsid w:val="00B14C0F"/>
    <w:rsid w:val="00B202CB"/>
    <w:rsid w:val="00B34BC0"/>
    <w:rsid w:val="00B7597E"/>
    <w:rsid w:val="00BE7A97"/>
    <w:rsid w:val="00C03074"/>
    <w:rsid w:val="00C11F82"/>
    <w:rsid w:val="00D10181"/>
    <w:rsid w:val="00D60BFF"/>
    <w:rsid w:val="00D62DE4"/>
    <w:rsid w:val="00D942FF"/>
    <w:rsid w:val="00E04BC0"/>
    <w:rsid w:val="00E924D4"/>
    <w:rsid w:val="00EB1381"/>
    <w:rsid w:val="00ED013D"/>
    <w:rsid w:val="00ED3DC7"/>
    <w:rsid w:val="00F22018"/>
    <w:rsid w:val="00F556EA"/>
    <w:rsid w:val="00F86A4D"/>
    <w:rsid w:val="00F96EEF"/>
    <w:rsid w:val="00FB33BC"/>
    <w:rsid w:val="00FE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97"/>
  </w:style>
  <w:style w:type="paragraph" w:styleId="Footer">
    <w:name w:val="footer"/>
    <w:basedOn w:val="Normal"/>
    <w:link w:val="FooterChar"/>
    <w:uiPriority w:val="99"/>
    <w:unhideWhenUsed/>
    <w:rsid w:val="00BE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97"/>
  </w:style>
  <w:style w:type="paragraph" w:styleId="BalloonText">
    <w:name w:val="Balloon Text"/>
    <w:basedOn w:val="Normal"/>
    <w:link w:val="BalloonTextChar"/>
    <w:uiPriority w:val="99"/>
    <w:semiHidden/>
    <w:unhideWhenUsed/>
    <w:rsid w:val="00BE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7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2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04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E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050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6065F9"/>
  </w:style>
  <w:style w:type="character" w:customStyle="1" w:styleId="Heading1Char">
    <w:name w:val="Heading 1 Char"/>
    <w:basedOn w:val="DefaultParagraphFont"/>
    <w:link w:val="Heading1"/>
    <w:uiPriority w:val="9"/>
    <w:rsid w:val="00F96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97"/>
  </w:style>
  <w:style w:type="paragraph" w:styleId="Footer">
    <w:name w:val="footer"/>
    <w:basedOn w:val="Normal"/>
    <w:link w:val="FooterChar"/>
    <w:uiPriority w:val="99"/>
    <w:unhideWhenUsed/>
    <w:rsid w:val="00BE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97"/>
  </w:style>
  <w:style w:type="paragraph" w:styleId="BalloonText">
    <w:name w:val="Balloon Text"/>
    <w:basedOn w:val="Normal"/>
    <w:link w:val="BalloonTextChar"/>
    <w:uiPriority w:val="99"/>
    <w:semiHidden/>
    <w:unhideWhenUsed/>
    <w:rsid w:val="00BE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7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2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04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E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050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6065F9"/>
  </w:style>
  <w:style w:type="character" w:customStyle="1" w:styleId="Heading1Char">
    <w:name w:val="Heading 1 Char"/>
    <w:basedOn w:val="DefaultParagraphFont"/>
    <w:link w:val="Heading1"/>
    <w:uiPriority w:val="9"/>
    <w:rsid w:val="00F96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Anatea Carpenter</dc:creator>
  <cp:lastModifiedBy>Hubert Mitchell</cp:lastModifiedBy>
  <cp:revision>2</cp:revision>
  <cp:lastPrinted>2013-10-16T22:20:00Z</cp:lastPrinted>
  <dcterms:created xsi:type="dcterms:W3CDTF">2015-01-22T22:46:00Z</dcterms:created>
  <dcterms:modified xsi:type="dcterms:W3CDTF">2015-01-22T22:46:00Z</dcterms:modified>
</cp:coreProperties>
</file>